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C983" w14:textId="06B6A37E" w:rsidR="00E354D7" w:rsidRPr="005F7D59" w:rsidRDefault="005B298A"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Grand Canyon </w:t>
      </w:r>
      <w:r w:rsidR="00E354D7" w:rsidRPr="005F7D59">
        <w:rPr>
          <w:rFonts w:ascii="Times New Roman" w:eastAsia="Times New Roman" w:hAnsi="Times New Roman" w:cs="Times New Roman"/>
          <w:color w:val="414141"/>
          <w:sz w:val="24"/>
          <w:szCs w:val="24"/>
        </w:rPr>
        <w:t>Advisory, </w:t>
      </w:r>
      <w:hyperlink r:id="rId5" w:tgtFrame="_blank" w:history="1">
        <w:r w:rsidR="00E354D7" w:rsidRPr="005F7D59">
          <w:rPr>
            <w:rFonts w:ascii="Times New Roman" w:eastAsia="Times New Roman" w:hAnsi="Times New Roman" w:cs="Times New Roman"/>
            <w:sz w:val="24"/>
            <w:szCs w:val="24"/>
            <w:bdr w:val="none" w:sz="0" w:space="0" w:color="auto" w:frame="1"/>
          </w:rPr>
          <w:t>LLC</w:t>
        </w:r>
      </w:hyperlink>
      <w:r w:rsidR="00E354D7" w:rsidRPr="005F7D59">
        <w:rPr>
          <w:rFonts w:ascii="Times New Roman" w:eastAsia="Times New Roman" w:hAnsi="Times New Roman" w:cs="Times New Roman"/>
          <w:sz w:val="24"/>
          <w:szCs w:val="24"/>
        </w:rPr>
        <w:t> </w:t>
      </w:r>
      <w:r w:rsidR="00E354D7" w:rsidRPr="005F7D59">
        <w:rPr>
          <w:rFonts w:ascii="Times New Roman" w:eastAsia="Times New Roman" w:hAnsi="Times New Roman" w:cs="Times New Roman"/>
          <w:color w:val="414141"/>
          <w:sz w:val="24"/>
          <w:szCs w:val="24"/>
        </w:rPr>
        <w:t>Investment Policy Statement for Brian Taylor &amp; Kelly Taylor</w:t>
      </w:r>
    </w:p>
    <w:p w14:paraId="6D9C9615"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Executive Summary:</w:t>
      </w:r>
    </w:p>
    <w:p w14:paraId="2B368842" w14:textId="09400111"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Brian and Katie Taylor, Joint Investor, age </w:t>
      </w:r>
      <w:r w:rsidR="006D2929" w:rsidRPr="005F7D59">
        <w:rPr>
          <w:rFonts w:ascii="Times New Roman" w:eastAsia="Times New Roman" w:hAnsi="Times New Roman" w:cs="Times New Roman"/>
          <w:color w:val="414141"/>
          <w:sz w:val="24"/>
          <w:szCs w:val="24"/>
        </w:rPr>
        <w:t>60 and 52</w:t>
      </w:r>
    </w:p>
    <w:p w14:paraId="661623B7" w14:textId="3E8AA5D8"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Portfolio: </w:t>
      </w:r>
      <w:r w:rsidR="00DB5071" w:rsidRPr="005F7D59">
        <w:rPr>
          <w:rFonts w:ascii="Times New Roman" w:eastAsia="Times New Roman" w:hAnsi="Times New Roman" w:cs="Times New Roman"/>
          <w:color w:val="414141"/>
          <w:sz w:val="24"/>
          <w:szCs w:val="24"/>
        </w:rPr>
        <w:t>Joint</w:t>
      </w:r>
      <w:r w:rsidRPr="005F7D59">
        <w:rPr>
          <w:rFonts w:ascii="Times New Roman" w:eastAsia="Times New Roman" w:hAnsi="Times New Roman" w:cs="Times New Roman"/>
          <w:color w:val="414141"/>
          <w:sz w:val="24"/>
          <w:szCs w:val="24"/>
        </w:rPr>
        <w:t>, Taxable</w:t>
      </w:r>
    </w:p>
    <w:p w14:paraId="7A651837" w14:textId="63AAB555"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State: </w:t>
      </w:r>
      <w:r w:rsidR="00DB5071" w:rsidRPr="005F7D59">
        <w:rPr>
          <w:rFonts w:ascii="Times New Roman" w:eastAsia="Times New Roman" w:hAnsi="Times New Roman" w:cs="Times New Roman"/>
          <w:color w:val="414141"/>
          <w:sz w:val="24"/>
          <w:szCs w:val="24"/>
        </w:rPr>
        <w:t>Arizona</w:t>
      </w:r>
    </w:p>
    <w:p w14:paraId="135EF609" w14:textId="439070DC"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Tax ID: xxx-xx-xxxx</w:t>
      </w:r>
      <w:r w:rsidR="006D2929" w:rsidRPr="005F7D59">
        <w:rPr>
          <w:rFonts w:ascii="Times New Roman" w:eastAsia="Times New Roman" w:hAnsi="Times New Roman" w:cs="Times New Roman"/>
          <w:color w:val="414141"/>
          <w:sz w:val="24"/>
          <w:szCs w:val="24"/>
        </w:rPr>
        <w:t>/ xxx-xx-xxxx</w:t>
      </w:r>
    </w:p>
    <w:p w14:paraId="3D117B15" w14:textId="5B6E3C90" w:rsidR="00E354D7" w:rsidRPr="005F7D59" w:rsidRDefault="00F86409"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hyperlink r:id="rId6" w:tgtFrame="_blank" w:history="1">
        <w:r w:rsidR="00E354D7" w:rsidRPr="005F7D59">
          <w:rPr>
            <w:rFonts w:ascii="Times New Roman" w:eastAsia="Times New Roman" w:hAnsi="Times New Roman" w:cs="Times New Roman"/>
            <w:sz w:val="24"/>
            <w:szCs w:val="24"/>
            <w:bdr w:val="none" w:sz="0" w:space="0" w:color="auto" w:frame="1"/>
          </w:rPr>
          <w:t>Current Assets</w:t>
        </w:r>
      </w:hyperlink>
      <w:r w:rsidR="00E354D7" w:rsidRPr="005F7D59">
        <w:rPr>
          <w:rFonts w:ascii="Times New Roman" w:eastAsia="Times New Roman" w:hAnsi="Times New Roman" w:cs="Times New Roman"/>
          <w:color w:val="414141"/>
          <w:sz w:val="24"/>
          <w:szCs w:val="24"/>
        </w:rPr>
        <w:t>: $</w:t>
      </w:r>
      <w:r w:rsidR="00DB5071" w:rsidRPr="005F7D59">
        <w:rPr>
          <w:rFonts w:ascii="Times New Roman" w:eastAsia="Times New Roman" w:hAnsi="Times New Roman" w:cs="Times New Roman"/>
          <w:color w:val="414141"/>
          <w:sz w:val="24"/>
          <w:szCs w:val="24"/>
        </w:rPr>
        <w:t>100,000,000.00</w:t>
      </w:r>
    </w:p>
    <w:p w14:paraId="6BC78C00" w14:textId="1FDC03D7"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Return Goal: </w:t>
      </w:r>
      <w:r w:rsidR="00DB5071" w:rsidRPr="005F7D59">
        <w:rPr>
          <w:rFonts w:ascii="Times New Roman" w:eastAsia="Times New Roman" w:hAnsi="Times New Roman" w:cs="Times New Roman"/>
          <w:color w:val="414141"/>
          <w:sz w:val="24"/>
          <w:szCs w:val="24"/>
        </w:rPr>
        <w:t>10</w:t>
      </w:r>
      <w:r w:rsidRPr="005F7D59">
        <w:rPr>
          <w:rFonts w:ascii="Times New Roman" w:eastAsia="Times New Roman" w:hAnsi="Times New Roman" w:cs="Times New Roman"/>
          <w:color w:val="414141"/>
          <w:sz w:val="24"/>
          <w:szCs w:val="24"/>
        </w:rPr>
        <w:t>%</w:t>
      </w:r>
    </w:p>
    <w:p w14:paraId="41D6B439" w14:textId="0A13421D"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One year loss limit (worst case scenario): 1</w:t>
      </w:r>
      <w:r w:rsidR="00D458E3" w:rsidRPr="005F7D59">
        <w:rPr>
          <w:rFonts w:ascii="Times New Roman" w:eastAsia="Times New Roman" w:hAnsi="Times New Roman" w:cs="Times New Roman"/>
          <w:color w:val="414141"/>
          <w:sz w:val="24"/>
          <w:szCs w:val="24"/>
        </w:rPr>
        <w:t>3</w:t>
      </w:r>
      <w:r w:rsidRPr="005F7D59">
        <w:rPr>
          <w:rFonts w:ascii="Times New Roman" w:eastAsia="Times New Roman" w:hAnsi="Times New Roman" w:cs="Times New Roman"/>
          <w:color w:val="414141"/>
          <w:sz w:val="24"/>
          <w:szCs w:val="24"/>
        </w:rPr>
        <w:t>-1</w:t>
      </w:r>
      <w:r w:rsidR="00D458E3" w:rsidRPr="005F7D59">
        <w:rPr>
          <w:rFonts w:ascii="Times New Roman" w:eastAsia="Times New Roman" w:hAnsi="Times New Roman" w:cs="Times New Roman"/>
          <w:color w:val="414141"/>
          <w:sz w:val="24"/>
          <w:szCs w:val="24"/>
        </w:rPr>
        <w:t>6</w:t>
      </w:r>
      <w:r w:rsidRPr="005F7D59">
        <w:rPr>
          <w:rFonts w:ascii="Times New Roman" w:eastAsia="Times New Roman" w:hAnsi="Times New Roman" w:cs="Times New Roman"/>
          <w:color w:val="414141"/>
          <w:sz w:val="24"/>
          <w:szCs w:val="24"/>
        </w:rPr>
        <w:t>%</w:t>
      </w:r>
    </w:p>
    <w:p w14:paraId="1EB51A5A" w14:textId="49E5A5B7" w:rsidR="00E354D7" w:rsidRPr="005F7D59" w:rsidRDefault="00E354D7" w:rsidP="00D458E3">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Objectives:</w:t>
      </w:r>
    </w:p>
    <w:p w14:paraId="24C0C1B8" w14:textId="77777777" w:rsidR="00E354D7" w:rsidRPr="005F7D59" w:rsidRDefault="00E354D7" w:rsidP="00E354D7">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color w:val="212121"/>
          <w:sz w:val="24"/>
          <w:szCs w:val="24"/>
        </w:rPr>
        <w:t>Long-term growth and </w:t>
      </w:r>
      <w:hyperlink r:id="rId7" w:tgtFrame="_blank" w:history="1">
        <w:r w:rsidRPr="005F7D59">
          <w:rPr>
            <w:rFonts w:ascii="Times New Roman" w:eastAsia="Times New Roman" w:hAnsi="Times New Roman" w:cs="Times New Roman"/>
            <w:sz w:val="24"/>
            <w:szCs w:val="24"/>
            <w:bdr w:val="none" w:sz="0" w:space="0" w:color="auto" w:frame="1"/>
          </w:rPr>
          <w:t>capital preservation</w:t>
        </w:r>
      </w:hyperlink>
    </w:p>
    <w:p w14:paraId="3E627753" w14:textId="77777777" w:rsidR="00DB5071" w:rsidRPr="005F7D59" w:rsidRDefault="00E354D7" w:rsidP="00A34DDD">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sz w:val="24"/>
          <w:szCs w:val="24"/>
        </w:rPr>
        <w:t xml:space="preserve">Risk profile: </w:t>
      </w:r>
      <w:r w:rsidR="00DB5071" w:rsidRPr="005F7D59">
        <w:rPr>
          <w:rFonts w:ascii="Times New Roman" w:eastAsia="Times New Roman" w:hAnsi="Times New Roman" w:cs="Times New Roman"/>
          <w:sz w:val="24"/>
          <w:szCs w:val="24"/>
        </w:rPr>
        <w:t>Low</w:t>
      </w:r>
    </w:p>
    <w:p w14:paraId="1D6E8164" w14:textId="0B9468DB" w:rsidR="00E354D7" w:rsidRPr="005F7D59" w:rsidRDefault="00F86409" w:rsidP="00A34DDD">
      <w:pPr>
        <w:numPr>
          <w:ilvl w:val="0"/>
          <w:numId w:val="1"/>
        </w:numPr>
        <w:shd w:val="clear" w:color="auto" w:fill="FFFFFF"/>
        <w:spacing w:after="0" w:line="240" w:lineRule="auto"/>
        <w:textAlignment w:val="baseline"/>
        <w:rPr>
          <w:rFonts w:ascii="Times New Roman" w:eastAsia="Times New Roman" w:hAnsi="Times New Roman" w:cs="Times New Roman"/>
          <w:color w:val="212121"/>
          <w:sz w:val="24"/>
          <w:szCs w:val="24"/>
        </w:rPr>
      </w:pPr>
      <w:hyperlink r:id="rId8" w:tgtFrame="_blank" w:history="1">
        <w:r w:rsidR="00E354D7" w:rsidRPr="005F7D59">
          <w:rPr>
            <w:rFonts w:ascii="Times New Roman" w:eastAsia="Times New Roman" w:hAnsi="Times New Roman" w:cs="Times New Roman"/>
            <w:sz w:val="24"/>
            <w:szCs w:val="24"/>
            <w:bdr w:val="none" w:sz="0" w:space="0" w:color="auto" w:frame="1"/>
          </w:rPr>
          <w:t>Time horizon</w:t>
        </w:r>
      </w:hyperlink>
      <w:r w:rsidR="00E354D7" w:rsidRPr="005F7D59">
        <w:rPr>
          <w:rFonts w:ascii="Times New Roman" w:eastAsia="Times New Roman" w:hAnsi="Times New Roman" w:cs="Times New Roman"/>
          <w:sz w:val="24"/>
          <w:szCs w:val="24"/>
        </w:rPr>
        <w:t xml:space="preserve">: </w:t>
      </w:r>
      <w:r w:rsidR="005D0BBB" w:rsidRPr="005F7D59">
        <w:rPr>
          <w:rFonts w:ascii="Times New Roman" w:eastAsia="Times New Roman" w:hAnsi="Times New Roman" w:cs="Times New Roman"/>
          <w:color w:val="212121"/>
          <w:sz w:val="24"/>
          <w:szCs w:val="24"/>
        </w:rPr>
        <w:t>Under</w:t>
      </w:r>
      <w:r w:rsidR="00E354D7" w:rsidRPr="005F7D59">
        <w:rPr>
          <w:rFonts w:ascii="Times New Roman" w:eastAsia="Times New Roman" w:hAnsi="Times New Roman" w:cs="Times New Roman"/>
          <w:color w:val="212121"/>
          <w:sz w:val="24"/>
          <w:szCs w:val="24"/>
        </w:rPr>
        <w:t xml:space="preserve"> </w:t>
      </w:r>
      <w:r w:rsidR="005D0BBB" w:rsidRPr="005F7D59">
        <w:rPr>
          <w:rFonts w:ascii="Times New Roman" w:eastAsia="Times New Roman" w:hAnsi="Times New Roman" w:cs="Times New Roman"/>
          <w:color w:val="212121"/>
          <w:sz w:val="24"/>
          <w:szCs w:val="24"/>
        </w:rPr>
        <w:t>three</w:t>
      </w:r>
      <w:r w:rsidR="00E354D7" w:rsidRPr="005F7D59">
        <w:rPr>
          <w:rFonts w:ascii="Times New Roman" w:eastAsia="Times New Roman" w:hAnsi="Times New Roman" w:cs="Times New Roman"/>
          <w:color w:val="212121"/>
          <w:sz w:val="24"/>
          <w:szCs w:val="24"/>
        </w:rPr>
        <w:t xml:space="preserve"> years</w:t>
      </w:r>
    </w:p>
    <w:p w14:paraId="3366ABD3" w14:textId="77777777" w:rsidR="00E354D7" w:rsidRPr="005F7D59" w:rsidRDefault="00E354D7" w:rsidP="00E354D7">
      <w:pPr>
        <w:numPr>
          <w:ilvl w:val="0"/>
          <w:numId w:val="1"/>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Short-term liquidity needs: None</w:t>
      </w:r>
    </w:p>
    <w:p w14:paraId="04DA96F9" w14:textId="77777777" w:rsidR="00E354D7" w:rsidRPr="005F7D59" w:rsidRDefault="00E354D7" w:rsidP="00E354D7">
      <w:pPr>
        <w:numPr>
          <w:ilvl w:val="0"/>
          <w:numId w:val="1"/>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Long-term rate of return expectation: 6% (based upon historical rates of return)</w:t>
      </w:r>
    </w:p>
    <w:p w14:paraId="50DE6F5A"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Financial Advisor Duties and Responsibilities:</w:t>
      </w:r>
    </w:p>
    <w:p w14:paraId="00629F93" w14:textId="0C39878D" w:rsidR="00E354D7" w:rsidRPr="005F7D59" w:rsidRDefault="00BF192A" w:rsidP="00E354D7">
      <w:pPr>
        <w:numPr>
          <w:ilvl w:val="0"/>
          <w:numId w:val="2"/>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 xml:space="preserve">Answering all client questions about financial plans and strategies </w:t>
      </w:r>
      <w:r w:rsidR="00D45C22" w:rsidRPr="005F7D59">
        <w:rPr>
          <w:rFonts w:ascii="Times New Roman" w:eastAsia="Times New Roman" w:hAnsi="Times New Roman" w:cs="Times New Roman"/>
          <w:color w:val="212121"/>
          <w:sz w:val="24"/>
          <w:szCs w:val="24"/>
        </w:rPr>
        <w:t>and providing financial advice</w:t>
      </w:r>
      <w:r w:rsidR="00E354D7" w:rsidRPr="005F7D59">
        <w:rPr>
          <w:rFonts w:ascii="Times New Roman" w:eastAsia="Times New Roman" w:hAnsi="Times New Roman" w:cs="Times New Roman"/>
          <w:color w:val="212121"/>
          <w:sz w:val="24"/>
          <w:szCs w:val="24"/>
        </w:rPr>
        <w:t>.</w:t>
      </w:r>
    </w:p>
    <w:p w14:paraId="62906FA4" w14:textId="77777777" w:rsidR="00E354D7" w:rsidRPr="005F7D59" w:rsidRDefault="00E354D7" w:rsidP="00E354D7">
      <w:pPr>
        <w:numPr>
          <w:ilvl w:val="0"/>
          <w:numId w:val="2"/>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Confer with client to create asset allocation.</w:t>
      </w:r>
    </w:p>
    <w:p w14:paraId="5A17CAFB" w14:textId="04419CDD" w:rsidR="00E354D7" w:rsidRPr="005F7D59" w:rsidRDefault="00D45C22" w:rsidP="00E354D7">
      <w:pPr>
        <w:numPr>
          <w:ilvl w:val="0"/>
          <w:numId w:val="2"/>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 xml:space="preserve">Review accounts and plans on a regular basis to understand if life or economic changes, situational concerns, or financial performance necessitate changes in their plan. </w:t>
      </w:r>
    </w:p>
    <w:p w14:paraId="5DD2F6B1" w14:textId="77777777" w:rsidR="00E354D7" w:rsidRPr="005F7D59" w:rsidRDefault="00E354D7" w:rsidP="00E354D7">
      <w:pPr>
        <w:numPr>
          <w:ilvl w:val="0"/>
          <w:numId w:val="2"/>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Control and report all investment costs.</w:t>
      </w:r>
    </w:p>
    <w:p w14:paraId="014ED9A5" w14:textId="791D305F" w:rsidR="00E354D7" w:rsidRPr="005F7D59" w:rsidRDefault="00D45C22" w:rsidP="00E354D7">
      <w:pPr>
        <w:numPr>
          <w:ilvl w:val="0"/>
          <w:numId w:val="2"/>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 xml:space="preserve">Preparing financial documents summaries, investment performance reports and income projections for financial account. </w:t>
      </w:r>
    </w:p>
    <w:p w14:paraId="03561830"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Portfolio Selection Guidelines:</w:t>
      </w:r>
    </w:p>
    <w:p w14:paraId="3ACA9023" w14:textId="77777777" w:rsidR="00D45C22" w:rsidRPr="005F7D59" w:rsidRDefault="00E354D7" w:rsidP="00D45C22">
      <w:pPr>
        <w:pStyle w:val="va-top"/>
        <w:shd w:val="clear" w:color="auto" w:fill="FFFFFF"/>
        <w:spacing w:before="0" w:beforeAutospacing="0" w:after="60" w:afterAutospacing="0"/>
        <w:ind w:left="360"/>
        <w:textAlignment w:val="top"/>
        <w:rPr>
          <w:color w:val="000000"/>
        </w:rPr>
      </w:pPr>
      <w:r w:rsidRPr="005F7D59">
        <w:rPr>
          <w:color w:val="414141"/>
        </w:rPr>
        <w:t xml:space="preserve">In general, </w:t>
      </w:r>
      <w:r w:rsidR="00D45C22" w:rsidRPr="005F7D59">
        <w:rPr>
          <w:color w:val="000000"/>
        </w:rPr>
        <w:t>Short-Term Performance in Investment Analysis When researching and analyzing investments, especially actively managed mutual funds, a one-year period does not provide any reliable insight into a particular fund's prospects for performing well in the future.</w:t>
      </w:r>
    </w:p>
    <w:p w14:paraId="18EA92BA" w14:textId="08085B12"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p>
    <w:p w14:paraId="7A0BA044" w14:textId="77777777"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Based on the client’s conservative risk profile, the portfolio asset allocation will be 60% stock assets and 40% fixed.</w:t>
      </w:r>
    </w:p>
    <w:p w14:paraId="2B104179"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color w:val="414141"/>
          <w:sz w:val="24"/>
          <w:szCs w:val="24"/>
        </w:rPr>
        <w:t>The individual composition of holdings will be selected from </w:t>
      </w:r>
      <w:hyperlink r:id="rId9" w:tgtFrame="_blank" w:history="1">
        <w:r w:rsidRPr="005F7D59">
          <w:rPr>
            <w:rFonts w:ascii="Times New Roman" w:eastAsia="Times New Roman" w:hAnsi="Times New Roman" w:cs="Times New Roman"/>
            <w:sz w:val="24"/>
            <w:szCs w:val="24"/>
            <w:bdr w:val="none" w:sz="0" w:space="0" w:color="auto" w:frame="1"/>
          </w:rPr>
          <w:t>index funds</w:t>
        </w:r>
      </w:hyperlink>
      <w:r w:rsidRPr="005F7D59">
        <w:rPr>
          <w:rFonts w:ascii="Times New Roman" w:eastAsia="Times New Roman" w:hAnsi="Times New Roman" w:cs="Times New Roman"/>
          <w:sz w:val="24"/>
          <w:szCs w:val="24"/>
        </w:rPr>
        <w:t> and </w:t>
      </w:r>
      <w:hyperlink r:id="rId10" w:tgtFrame="_blank" w:history="1">
        <w:r w:rsidRPr="005F7D59">
          <w:rPr>
            <w:rFonts w:ascii="Times New Roman" w:eastAsia="Times New Roman" w:hAnsi="Times New Roman" w:cs="Times New Roman"/>
            <w:sz w:val="24"/>
            <w:szCs w:val="24"/>
            <w:bdr w:val="none" w:sz="0" w:space="0" w:color="auto" w:frame="1"/>
          </w:rPr>
          <w:t>exchange-traded funds</w:t>
        </w:r>
      </w:hyperlink>
      <w:r w:rsidRPr="005F7D59">
        <w:rPr>
          <w:rFonts w:ascii="Times New Roman" w:eastAsia="Times New Roman" w:hAnsi="Times New Roman" w:cs="Times New Roman"/>
          <w:sz w:val="24"/>
          <w:szCs w:val="24"/>
        </w:rPr>
        <w:t> from the following asset classes:</w:t>
      </w:r>
    </w:p>
    <w:p w14:paraId="29AC80AC"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Equity</w:t>
      </w:r>
    </w:p>
    <w:p w14:paraId="59D1056C" w14:textId="77777777" w:rsidR="00E354D7" w:rsidRPr="005F7D59" w:rsidRDefault="00E354D7" w:rsidP="00E354D7">
      <w:pPr>
        <w:numPr>
          <w:ilvl w:val="0"/>
          <w:numId w:val="3"/>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U.S.</w:t>
      </w:r>
    </w:p>
    <w:p w14:paraId="42C9F041" w14:textId="77777777" w:rsidR="00E354D7" w:rsidRPr="005F7D59" w:rsidRDefault="00E354D7" w:rsidP="00E354D7">
      <w:pPr>
        <w:numPr>
          <w:ilvl w:val="0"/>
          <w:numId w:val="3"/>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High-Dividend</w:t>
      </w:r>
    </w:p>
    <w:p w14:paraId="5812B64B" w14:textId="77777777" w:rsidR="00E354D7" w:rsidRPr="005F7D59" w:rsidRDefault="00E354D7" w:rsidP="00E354D7">
      <w:pPr>
        <w:numPr>
          <w:ilvl w:val="0"/>
          <w:numId w:val="3"/>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Value</w:t>
      </w:r>
    </w:p>
    <w:p w14:paraId="60E83C6D" w14:textId="77777777" w:rsidR="00E354D7" w:rsidRPr="005F7D59" w:rsidRDefault="00F86409" w:rsidP="00E354D7">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hyperlink r:id="rId11" w:tgtFrame="_blank" w:history="1">
        <w:r w:rsidR="00E354D7" w:rsidRPr="005F7D59">
          <w:rPr>
            <w:rFonts w:ascii="Times New Roman" w:eastAsia="Times New Roman" w:hAnsi="Times New Roman" w:cs="Times New Roman"/>
            <w:sz w:val="24"/>
            <w:szCs w:val="24"/>
            <w:bdr w:val="none" w:sz="0" w:space="0" w:color="auto" w:frame="1"/>
          </w:rPr>
          <w:t>Small Cap</w:t>
        </w:r>
      </w:hyperlink>
    </w:p>
    <w:p w14:paraId="486311FD" w14:textId="77777777" w:rsidR="00E354D7" w:rsidRPr="005F7D59" w:rsidRDefault="00E354D7" w:rsidP="00E354D7">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sz w:val="24"/>
          <w:szCs w:val="24"/>
        </w:rPr>
        <w:t>International, including developed and developing markets</w:t>
      </w:r>
    </w:p>
    <w:p w14:paraId="1BB6026F"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b/>
          <w:bCs/>
          <w:sz w:val="24"/>
          <w:szCs w:val="24"/>
          <w:bdr w:val="none" w:sz="0" w:space="0" w:color="auto" w:frame="1"/>
        </w:rPr>
        <w:t>Fixed</w:t>
      </w:r>
    </w:p>
    <w:p w14:paraId="308828E7" w14:textId="77777777" w:rsidR="00E354D7" w:rsidRPr="005F7D59" w:rsidRDefault="00E354D7" w:rsidP="00E354D7">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sz w:val="24"/>
          <w:szCs w:val="24"/>
        </w:rPr>
        <w:t>U.S. Bonds</w:t>
      </w:r>
    </w:p>
    <w:p w14:paraId="7295F1D1" w14:textId="77777777" w:rsidR="00E354D7" w:rsidRPr="005F7D59" w:rsidRDefault="00F86409" w:rsidP="00E354D7">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hyperlink r:id="rId12" w:tgtFrame="_blank" w:history="1">
        <w:r w:rsidR="00E354D7" w:rsidRPr="005F7D59">
          <w:rPr>
            <w:rFonts w:ascii="Times New Roman" w:eastAsia="Times New Roman" w:hAnsi="Times New Roman" w:cs="Times New Roman"/>
            <w:sz w:val="24"/>
            <w:szCs w:val="24"/>
            <w:bdr w:val="none" w:sz="0" w:space="0" w:color="auto" w:frame="1"/>
          </w:rPr>
          <w:t>Corporate Bonds</w:t>
        </w:r>
      </w:hyperlink>
    </w:p>
    <w:p w14:paraId="7D6ADF33" w14:textId="77777777" w:rsidR="00E354D7" w:rsidRPr="005F7D59" w:rsidRDefault="00E354D7" w:rsidP="00E354D7">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sz w:val="24"/>
          <w:szCs w:val="24"/>
        </w:rPr>
        <w:t>Government Bonds</w:t>
      </w:r>
    </w:p>
    <w:p w14:paraId="0801A689" w14:textId="77777777" w:rsidR="00E354D7" w:rsidRPr="005F7D59" w:rsidRDefault="00E354D7" w:rsidP="00E354D7">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r w:rsidRPr="005F7D59">
        <w:rPr>
          <w:rFonts w:ascii="Times New Roman" w:eastAsia="Times New Roman" w:hAnsi="Times New Roman" w:cs="Times New Roman"/>
          <w:sz w:val="24"/>
          <w:szCs w:val="24"/>
        </w:rPr>
        <w:t>High-Yield Bonds</w:t>
      </w:r>
    </w:p>
    <w:p w14:paraId="425E84C0" w14:textId="77777777" w:rsidR="00E354D7" w:rsidRPr="005F7D59" w:rsidRDefault="00F86409" w:rsidP="00E354D7">
      <w:pPr>
        <w:numPr>
          <w:ilvl w:val="0"/>
          <w:numId w:val="4"/>
        </w:numPr>
        <w:shd w:val="clear" w:color="auto" w:fill="FFFFFF"/>
        <w:spacing w:after="0" w:line="240" w:lineRule="auto"/>
        <w:textAlignment w:val="baseline"/>
        <w:rPr>
          <w:rFonts w:ascii="Times New Roman" w:eastAsia="Times New Roman" w:hAnsi="Times New Roman" w:cs="Times New Roman"/>
          <w:color w:val="212121"/>
          <w:sz w:val="24"/>
          <w:szCs w:val="24"/>
        </w:rPr>
      </w:pPr>
      <w:hyperlink r:id="rId13" w:tgtFrame="_blank" w:history="1">
        <w:r w:rsidR="00E354D7" w:rsidRPr="005F7D59">
          <w:rPr>
            <w:rFonts w:ascii="Times New Roman" w:eastAsia="Times New Roman" w:hAnsi="Times New Roman" w:cs="Times New Roman"/>
            <w:sz w:val="24"/>
            <w:szCs w:val="24"/>
            <w:bdr w:val="none" w:sz="0" w:space="0" w:color="auto" w:frame="1"/>
          </w:rPr>
          <w:t>Real Estate Investment Trusts</w:t>
        </w:r>
      </w:hyperlink>
      <w:r w:rsidR="00E354D7" w:rsidRPr="005F7D59">
        <w:rPr>
          <w:rFonts w:ascii="Times New Roman" w:eastAsia="Times New Roman" w:hAnsi="Times New Roman" w:cs="Times New Roman"/>
          <w:color w:val="212121"/>
          <w:sz w:val="24"/>
          <w:szCs w:val="24"/>
        </w:rPr>
        <w:t> (REIT)</w:t>
      </w:r>
    </w:p>
    <w:p w14:paraId="3F178F52" w14:textId="77777777" w:rsidR="00E354D7" w:rsidRPr="005F7D59" w:rsidRDefault="00E354D7" w:rsidP="00E354D7">
      <w:pPr>
        <w:numPr>
          <w:ilvl w:val="0"/>
          <w:numId w:val="4"/>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Global Bonds</w:t>
      </w:r>
    </w:p>
    <w:p w14:paraId="05E200E7" w14:textId="77777777" w:rsidR="00E354D7" w:rsidRPr="005F7D59" w:rsidRDefault="00E354D7" w:rsidP="00E354D7">
      <w:pPr>
        <w:numPr>
          <w:ilvl w:val="0"/>
          <w:numId w:val="4"/>
        </w:numPr>
        <w:shd w:val="clear" w:color="auto" w:fill="FFFFFF"/>
        <w:spacing w:after="0" w:line="240" w:lineRule="auto"/>
        <w:textAlignment w:val="baseline"/>
        <w:rPr>
          <w:rFonts w:ascii="Times New Roman" w:eastAsia="Times New Roman" w:hAnsi="Times New Roman" w:cs="Times New Roman"/>
          <w:color w:val="212121"/>
          <w:sz w:val="24"/>
          <w:szCs w:val="24"/>
        </w:rPr>
      </w:pPr>
      <w:r w:rsidRPr="005F7D59">
        <w:rPr>
          <w:rFonts w:ascii="Times New Roman" w:eastAsia="Times New Roman" w:hAnsi="Times New Roman" w:cs="Times New Roman"/>
          <w:color w:val="212121"/>
          <w:sz w:val="24"/>
          <w:szCs w:val="24"/>
        </w:rPr>
        <w:t>Global REITs</w:t>
      </w:r>
    </w:p>
    <w:p w14:paraId="4A4955AA" w14:textId="77777777"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Rebalancing of Asset Allocation:</w:t>
      </w:r>
    </w:p>
    <w:p w14:paraId="7A6839FD" w14:textId="7048FA0B" w:rsidR="00E354D7" w:rsidRPr="005F7D59" w:rsidRDefault="005B298A"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While making the strongest effort to minimize the tax consequences of asset sales, the portfolio will be monitored regularly. In doing so, the portfolio will be rebalanced on an annual basis, since there is no clear data recommending the rebalancing more frequently.</w:t>
      </w:r>
      <w:r w:rsidR="00D458E3" w:rsidRPr="005F7D59">
        <w:rPr>
          <w:rFonts w:ascii="Times New Roman" w:eastAsia="Times New Roman" w:hAnsi="Times New Roman" w:cs="Times New Roman"/>
          <w:color w:val="414141"/>
          <w:sz w:val="24"/>
          <w:szCs w:val="24"/>
        </w:rPr>
        <w:t xml:space="preserve"> </w:t>
      </w:r>
      <w:r w:rsidR="00D458E3" w:rsidRPr="005F7D59">
        <w:rPr>
          <w:rFonts w:ascii="Times New Roman" w:hAnsi="Times New Roman" w:cs="Times New Roman"/>
          <w:color w:val="111111"/>
          <w:sz w:val="24"/>
          <w:szCs w:val="24"/>
          <w:shd w:val="clear" w:color="auto" w:fill="FFFFFF"/>
        </w:rPr>
        <w:t>Periodically </w:t>
      </w:r>
      <w:r w:rsidR="00D458E3" w:rsidRPr="005F7D59">
        <w:rPr>
          <w:rStyle w:val="Strong"/>
          <w:rFonts w:ascii="Times New Roman" w:hAnsi="Times New Roman" w:cs="Times New Roman"/>
          <w:b w:val="0"/>
          <w:bCs w:val="0"/>
          <w:color w:val="111111"/>
          <w:sz w:val="24"/>
          <w:szCs w:val="24"/>
          <w:shd w:val="clear" w:color="auto" w:fill="FFFFFF"/>
        </w:rPr>
        <w:t>rebalancing your portfolio</w:t>
      </w:r>
      <w:r w:rsidR="00D458E3" w:rsidRPr="005F7D59">
        <w:rPr>
          <w:rFonts w:ascii="Times New Roman" w:hAnsi="Times New Roman" w:cs="Times New Roman"/>
          <w:b/>
          <w:bCs/>
          <w:color w:val="111111"/>
          <w:sz w:val="24"/>
          <w:szCs w:val="24"/>
          <w:shd w:val="clear" w:color="auto" w:fill="FFFFFF"/>
        </w:rPr>
        <w:t> </w:t>
      </w:r>
      <w:r w:rsidR="00D458E3" w:rsidRPr="005F7D59">
        <w:rPr>
          <w:rFonts w:ascii="Times New Roman" w:hAnsi="Times New Roman" w:cs="Times New Roman"/>
          <w:color w:val="111111"/>
          <w:sz w:val="24"/>
          <w:szCs w:val="24"/>
          <w:shd w:val="clear" w:color="auto" w:fill="FFFFFF"/>
        </w:rPr>
        <w:t>by selling down winning assets to buy more of under-performing assets can boost your returns, help keep volatility closer to your own tolerance levels, and reduce the risk of your portfolio being exposed to bubble markets.</w:t>
      </w:r>
    </w:p>
    <w:p w14:paraId="27A7EBE9" w14:textId="77777777" w:rsidR="005B298A"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b/>
          <w:bCs/>
          <w:color w:val="414141"/>
          <w:sz w:val="24"/>
          <w:szCs w:val="24"/>
          <w:bdr w:val="none" w:sz="0" w:space="0" w:color="auto" w:frame="1"/>
        </w:rPr>
        <w:t>Performance Monitoring:</w:t>
      </w:r>
    </w:p>
    <w:p w14:paraId="1F6F9648" w14:textId="701210C0" w:rsidR="00E354D7" w:rsidRPr="005F7D59" w:rsidRDefault="005B298A"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All deviations will be looked upon and re-evaluated on an annual basis. In an effort to have the strongest rate of return, the holdings will also be compared with peer group funds. Each mutual fund will also be compared with the benchmark that is associated.</w:t>
      </w:r>
    </w:p>
    <w:p w14:paraId="16E518EF" w14:textId="77777777" w:rsidR="00E354D7" w:rsidRPr="005F7D59" w:rsidRDefault="00E354D7"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lastRenderedPageBreak/>
        <w:t>The parameters for selling a fund due to poor performance include one year of greater than 1% deviation from the benchmark and/or falling in the bottom half of the cohort fund group.</w:t>
      </w:r>
    </w:p>
    <w:p w14:paraId="6DFA34F4" w14:textId="444156A6" w:rsidR="00E354D7" w:rsidRPr="005F7D59" w:rsidRDefault="005B298A"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All costs will be monitored as well on an annual basis, ensuring that the cost does not surpass 1% of the assets.</w:t>
      </w:r>
    </w:p>
    <w:p w14:paraId="11CB36FC" w14:textId="2301EA90" w:rsidR="005B298A" w:rsidRPr="005F7D59" w:rsidRDefault="005B298A" w:rsidP="00E354D7">
      <w:pPr>
        <w:shd w:val="clear" w:color="auto" w:fill="FFFFFF"/>
        <w:spacing w:before="100" w:beforeAutospacing="1" w:after="100" w:afterAutospacing="1" w:line="360" w:lineRule="atLeast"/>
        <w:textAlignment w:val="baseline"/>
        <w:rPr>
          <w:rFonts w:ascii="Times New Roman" w:eastAsia="Times New Roman" w:hAnsi="Times New Roman" w:cs="Times New Roman"/>
          <w:color w:val="414141"/>
          <w:sz w:val="24"/>
          <w:szCs w:val="24"/>
        </w:rPr>
      </w:pPr>
      <w:r w:rsidRPr="005F7D59">
        <w:rPr>
          <w:rFonts w:ascii="Times New Roman" w:eastAsia="Times New Roman" w:hAnsi="Times New Roman" w:cs="Times New Roman"/>
          <w:color w:val="414141"/>
          <w:sz w:val="24"/>
          <w:szCs w:val="24"/>
        </w:rPr>
        <w:t xml:space="preserve">In the consultation the performance fees are included. We will review the portfolio on an annual basis, or more depending on the needs of Mr. &amp; Mrs. Taylor. It is of upmost important to ensure satisfaction of the client and ensuring that the portfolio is going in the right direction regarding the future needs. </w:t>
      </w:r>
    </w:p>
    <w:p w14:paraId="76701266" w14:textId="3BC19FAA" w:rsidR="00E354D7" w:rsidRPr="005F7D59" w:rsidRDefault="00E354D7" w:rsidP="00E354D7">
      <w:pPr>
        <w:shd w:val="clear" w:color="auto" w:fill="FFFFFF"/>
        <w:spacing w:beforeAutospacing="1" w:after="0" w:afterAutospacing="1" w:line="360" w:lineRule="atLeast"/>
        <w:textAlignment w:val="baseline"/>
        <w:rPr>
          <w:rFonts w:ascii="Times New Roman" w:eastAsia="Times New Roman" w:hAnsi="Times New Roman" w:cs="Times New Roman"/>
          <w:color w:val="414141"/>
          <w:sz w:val="24"/>
          <w:szCs w:val="24"/>
        </w:rPr>
      </w:pPr>
    </w:p>
    <w:p w14:paraId="0EE07F09" w14:textId="5A913E40" w:rsidR="00735207" w:rsidRPr="005F7D59" w:rsidRDefault="00F86409">
      <w:pPr>
        <w:rPr>
          <w:rFonts w:ascii="Times New Roman" w:hAnsi="Times New Roman" w:cs="Times New Roman"/>
          <w:sz w:val="24"/>
          <w:szCs w:val="24"/>
        </w:rPr>
      </w:pPr>
    </w:p>
    <w:p w14:paraId="110E0E3F" w14:textId="63453710" w:rsidR="004E3525" w:rsidRPr="005F7D59" w:rsidRDefault="004E3525">
      <w:pPr>
        <w:rPr>
          <w:rFonts w:ascii="Times New Roman" w:hAnsi="Times New Roman" w:cs="Times New Roman"/>
          <w:sz w:val="24"/>
          <w:szCs w:val="24"/>
        </w:rPr>
      </w:pPr>
    </w:p>
    <w:p w14:paraId="715E5925" w14:textId="4B8ED5B4" w:rsidR="004E3525" w:rsidRPr="005F7D59" w:rsidRDefault="004E3525">
      <w:pPr>
        <w:rPr>
          <w:rFonts w:ascii="Times New Roman" w:hAnsi="Times New Roman" w:cs="Times New Roman"/>
          <w:sz w:val="24"/>
          <w:szCs w:val="24"/>
        </w:rPr>
      </w:pPr>
    </w:p>
    <w:p w14:paraId="41A93E92" w14:textId="14D23B43" w:rsidR="004E3525" w:rsidRPr="005F7D59" w:rsidRDefault="004E3525">
      <w:pPr>
        <w:rPr>
          <w:rFonts w:ascii="Times New Roman" w:hAnsi="Times New Roman" w:cs="Times New Roman"/>
          <w:sz w:val="24"/>
          <w:szCs w:val="24"/>
        </w:rPr>
      </w:pPr>
    </w:p>
    <w:p w14:paraId="6038331C" w14:textId="670D94BB" w:rsidR="004E3525" w:rsidRPr="005F7D59" w:rsidRDefault="004E3525">
      <w:pPr>
        <w:rPr>
          <w:rFonts w:ascii="Times New Roman" w:hAnsi="Times New Roman" w:cs="Times New Roman"/>
          <w:sz w:val="24"/>
          <w:szCs w:val="24"/>
        </w:rPr>
      </w:pPr>
    </w:p>
    <w:p w14:paraId="0F0FC8CA" w14:textId="6B96B4B6" w:rsidR="004E3525" w:rsidRPr="005F7D59" w:rsidRDefault="004E3525">
      <w:pPr>
        <w:rPr>
          <w:rFonts w:ascii="Times New Roman" w:hAnsi="Times New Roman" w:cs="Times New Roman"/>
          <w:sz w:val="24"/>
          <w:szCs w:val="24"/>
        </w:rPr>
      </w:pPr>
    </w:p>
    <w:p w14:paraId="0F9FA753" w14:textId="7AE2E2B5" w:rsidR="004E3525" w:rsidRPr="005F7D59" w:rsidRDefault="004E3525">
      <w:pPr>
        <w:rPr>
          <w:rFonts w:ascii="Times New Roman" w:hAnsi="Times New Roman" w:cs="Times New Roman"/>
          <w:sz w:val="24"/>
          <w:szCs w:val="24"/>
        </w:rPr>
      </w:pPr>
    </w:p>
    <w:p w14:paraId="6D202580" w14:textId="054B8123" w:rsidR="004E3525" w:rsidRPr="005F7D59" w:rsidRDefault="004E3525">
      <w:pPr>
        <w:rPr>
          <w:rFonts w:ascii="Times New Roman" w:hAnsi="Times New Roman" w:cs="Times New Roman"/>
          <w:sz w:val="24"/>
          <w:szCs w:val="24"/>
        </w:rPr>
      </w:pPr>
    </w:p>
    <w:p w14:paraId="3CA5C2E7" w14:textId="3E32F1AF" w:rsidR="004E3525" w:rsidRPr="005F7D59" w:rsidRDefault="004E3525">
      <w:pPr>
        <w:rPr>
          <w:rFonts w:ascii="Times New Roman" w:hAnsi="Times New Roman" w:cs="Times New Roman"/>
          <w:sz w:val="24"/>
          <w:szCs w:val="24"/>
        </w:rPr>
      </w:pPr>
    </w:p>
    <w:p w14:paraId="436E9147" w14:textId="03C82E4F" w:rsidR="004E3525" w:rsidRPr="005F7D59" w:rsidRDefault="004E3525">
      <w:pPr>
        <w:rPr>
          <w:rFonts w:ascii="Times New Roman" w:hAnsi="Times New Roman" w:cs="Times New Roman"/>
          <w:sz w:val="24"/>
          <w:szCs w:val="24"/>
        </w:rPr>
      </w:pPr>
    </w:p>
    <w:p w14:paraId="31A53430" w14:textId="29CFE4B7" w:rsidR="004E3525" w:rsidRPr="005F7D59" w:rsidRDefault="004E3525">
      <w:pPr>
        <w:rPr>
          <w:rFonts w:ascii="Times New Roman" w:hAnsi="Times New Roman" w:cs="Times New Roman"/>
          <w:sz w:val="24"/>
          <w:szCs w:val="24"/>
        </w:rPr>
      </w:pPr>
    </w:p>
    <w:p w14:paraId="2785FAB4" w14:textId="59EF8409" w:rsidR="004E3525" w:rsidRPr="005F7D59" w:rsidRDefault="004E3525">
      <w:pPr>
        <w:rPr>
          <w:rFonts w:ascii="Times New Roman" w:hAnsi="Times New Roman" w:cs="Times New Roman"/>
          <w:sz w:val="24"/>
          <w:szCs w:val="24"/>
        </w:rPr>
      </w:pPr>
    </w:p>
    <w:p w14:paraId="54A93365" w14:textId="7A2599A2" w:rsidR="004E3525" w:rsidRPr="005F7D59" w:rsidRDefault="004E3525">
      <w:pPr>
        <w:rPr>
          <w:rFonts w:ascii="Times New Roman" w:hAnsi="Times New Roman" w:cs="Times New Roman"/>
          <w:sz w:val="24"/>
          <w:szCs w:val="24"/>
        </w:rPr>
      </w:pPr>
    </w:p>
    <w:p w14:paraId="0F83C3EE" w14:textId="4D00407A" w:rsidR="004E3525" w:rsidRPr="005F7D59" w:rsidRDefault="004E3525">
      <w:pPr>
        <w:rPr>
          <w:rFonts w:ascii="Times New Roman" w:hAnsi="Times New Roman" w:cs="Times New Roman"/>
          <w:sz w:val="24"/>
          <w:szCs w:val="24"/>
        </w:rPr>
      </w:pPr>
    </w:p>
    <w:p w14:paraId="1DB658F2" w14:textId="777F0078" w:rsidR="004E3525" w:rsidRPr="005F7D59" w:rsidRDefault="004E3525">
      <w:pPr>
        <w:rPr>
          <w:rFonts w:ascii="Times New Roman" w:hAnsi="Times New Roman" w:cs="Times New Roman"/>
          <w:sz w:val="24"/>
          <w:szCs w:val="24"/>
        </w:rPr>
      </w:pPr>
    </w:p>
    <w:p w14:paraId="5E420383" w14:textId="258DA59D" w:rsidR="004E3525" w:rsidRPr="005F7D59" w:rsidRDefault="004E3525">
      <w:pPr>
        <w:rPr>
          <w:rFonts w:ascii="Times New Roman" w:hAnsi="Times New Roman" w:cs="Times New Roman"/>
          <w:sz w:val="24"/>
          <w:szCs w:val="24"/>
        </w:rPr>
      </w:pPr>
    </w:p>
    <w:p w14:paraId="46173686" w14:textId="03939F41" w:rsidR="004E3525" w:rsidRPr="005F7D59" w:rsidRDefault="004E3525">
      <w:pPr>
        <w:rPr>
          <w:rFonts w:ascii="Times New Roman" w:hAnsi="Times New Roman" w:cs="Times New Roman"/>
          <w:sz w:val="24"/>
          <w:szCs w:val="24"/>
        </w:rPr>
      </w:pPr>
    </w:p>
    <w:p w14:paraId="51513BA8" w14:textId="346A7AF7" w:rsidR="004E3525" w:rsidRPr="005F7D59" w:rsidRDefault="004E3525">
      <w:pPr>
        <w:rPr>
          <w:rFonts w:ascii="Times New Roman" w:hAnsi="Times New Roman" w:cs="Times New Roman"/>
          <w:sz w:val="24"/>
          <w:szCs w:val="24"/>
        </w:rPr>
      </w:pPr>
    </w:p>
    <w:p w14:paraId="73FC34E3" w14:textId="2D85DC88" w:rsidR="004E3525" w:rsidRPr="005F7D59" w:rsidRDefault="004E3525">
      <w:pPr>
        <w:rPr>
          <w:rFonts w:ascii="Times New Roman" w:hAnsi="Times New Roman" w:cs="Times New Roman"/>
          <w:sz w:val="24"/>
          <w:szCs w:val="24"/>
        </w:rPr>
      </w:pPr>
    </w:p>
    <w:p w14:paraId="036A0ED3" w14:textId="16C757B9" w:rsidR="004E3525" w:rsidRPr="005F7D59" w:rsidRDefault="004E3525">
      <w:pPr>
        <w:rPr>
          <w:rFonts w:ascii="Times New Roman" w:hAnsi="Times New Roman" w:cs="Times New Roman"/>
          <w:sz w:val="24"/>
          <w:szCs w:val="24"/>
        </w:rPr>
      </w:pPr>
    </w:p>
    <w:p w14:paraId="787D07FB" w14:textId="0CE57698" w:rsidR="004E3525" w:rsidRPr="005F7D59" w:rsidRDefault="004E3525">
      <w:pPr>
        <w:rPr>
          <w:rFonts w:ascii="Times New Roman" w:hAnsi="Times New Roman" w:cs="Times New Roman"/>
          <w:sz w:val="24"/>
          <w:szCs w:val="24"/>
        </w:rPr>
      </w:pPr>
      <w:r w:rsidRPr="005F7D59">
        <w:rPr>
          <w:rFonts w:ascii="Times New Roman" w:hAnsi="Times New Roman" w:cs="Times New Roman"/>
          <w:sz w:val="24"/>
          <w:szCs w:val="24"/>
        </w:rPr>
        <w:tab/>
      </w:r>
      <w:r w:rsidRPr="005F7D59">
        <w:rPr>
          <w:rFonts w:ascii="Times New Roman" w:hAnsi="Times New Roman" w:cs="Times New Roman"/>
          <w:sz w:val="24"/>
          <w:szCs w:val="24"/>
        </w:rPr>
        <w:tab/>
      </w:r>
      <w:r w:rsidRPr="005F7D59">
        <w:rPr>
          <w:rFonts w:ascii="Times New Roman" w:hAnsi="Times New Roman" w:cs="Times New Roman"/>
          <w:sz w:val="24"/>
          <w:szCs w:val="24"/>
        </w:rPr>
        <w:tab/>
      </w:r>
      <w:r w:rsidRPr="005F7D59">
        <w:rPr>
          <w:rFonts w:ascii="Times New Roman" w:hAnsi="Times New Roman" w:cs="Times New Roman"/>
          <w:sz w:val="24"/>
          <w:szCs w:val="24"/>
        </w:rPr>
        <w:tab/>
      </w:r>
      <w:r w:rsidRPr="005F7D59">
        <w:rPr>
          <w:rFonts w:ascii="Times New Roman" w:hAnsi="Times New Roman" w:cs="Times New Roman"/>
          <w:sz w:val="24"/>
          <w:szCs w:val="24"/>
        </w:rPr>
        <w:tab/>
        <w:t>Reference</w:t>
      </w:r>
    </w:p>
    <w:p w14:paraId="5A03553F" w14:textId="4CEA3C49" w:rsidR="004E3525" w:rsidRPr="005F7D59" w:rsidRDefault="004E3525">
      <w:pPr>
        <w:rPr>
          <w:rFonts w:ascii="Times New Roman" w:hAnsi="Times New Roman" w:cs="Times New Roman"/>
          <w:sz w:val="24"/>
          <w:szCs w:val="24"/>
        </w:rPr>
      </w:pPr>
    </w:p>
    <w:p w14:paraId="2E367758" w14:textId="505CB86F" w:rsidR="004E3525" w:rsidRPr="005F7D59" w:rsidRDefault="004E3525" w:rsidP="004E3525">
      <w:pPr>
        <w:spacing w:before="100" w:beforeAutospacing="1" w:after="100" w:afterAutospacing="1" w:line="240" w:lineRule="auto"/>
        <w:ind w:left="567" w:hanging="567"/>
        <w:rPr>
          <w:rFonts w:ascii="Times New Roman" w:eastAsia="Times New Roman" w:hAnsi="Times New Roman" w:cs="Times New Roman"/>
          <w:sz w:val="24"/>
          <w:szCs w:val="24"/>
        </w:rPr>
      </w:pPr>
      <w:r w:rsidRPr="004E3525">
        <w:rPr>
          <w:rFonts w:ascii="Times New Roman" w:eastAsia="Times New Roman" w:hAnsi="Times New Roman" w:cs="Times New Roman"/>
          <w:sz w:val="24"/>
          <w:szCs w:val="24"/>
        </w:rPr>
        <w:t xml:space="preserve">The Investor on May 8, 2009. (2010, January 29). </w:t>
      </w:r>
      <w:r w:rsidRPr="004E3525">
        <w:rPr>
          <w:rFonts w:ascii="Times New Roman" w:eastAsia="Times New Roman" w:hAnsi="Times New Roman" w:cs="Times New Roman"/>
          <w:i/>
          <w:iCs/>
          <w:sz w:val="24"/>
          <w:szCs w:val="24"/>
        </w:rPr>
        <w:t>Rebalancing asset allocations</w:t>
      </w:r>
      <w:r w:rsidRPr="004E3525">
        <w:rPr>
          <w:rFonts w:ascii="Times New Roman" w:eastAsia="Times New Roman" w:hAnsi="Times New Roman" w:cs="Times New Roman"/>
          <w:sz w:val="24"/>
          <w:szCs w:val="24"/>
        </w:rPr>
        <w:t xml:space="preserve">. Monevator. https://monevator.com/rebalancing-asset-allocations/. </w:t>
      </w:r>
    </w:p>
    <w:p w14:paraId="2632E6D6" w14:textId="77777777" w:rsidR="00427EC3" w:rsidRPr="00427EC3" w:rsidRDefault="00427EC3" w:rsidP="00427EC3">
      <w:pPr>
        <w:spacing w:before="100" w:beforeAutospacing="1" w:after="100" w:afterAutospacing="1" w:line="240" w:lineRule="auto"/>
        <w:ind w:left="567" w:hanging="567"/>
        <w:rPr>
          <w:rFonts w:ascii="Times New Roman" w:eastAsia="Times New Roman" w:hAnsi="Times New Roman" w:cs="Times New Roman"/>
          <w:sz w:val="24"/>
          <w:szCs w:val="24"/>
        </w:rPr>
      </w:pPr>
      <w:r w:rsidRPr="00427EC3">
        <w:rPr>
          <w:rFonts w:ascii="Times New Roman" w:eastAsia="Times New Roman" w:hAnsi="Times New Roman" w:cs="Times New Roman"/>
          <w:sz w:val="24"/>
          <w:szCs w:val="24"/>
        </w:rPr>
        <w:t xml:space="preserve">Friedberg, B. A. (2021, June 22). </w:t>
      </w:r>
      <w:r w:rsidRPr="00427EC3">
        <w:rPr>
          <w:rFonts w:ascii="Times New Roman" w:eastAsia="Times New Roman" w:hAnsi="Times New Roman" w:cs="Times New Roman"/>
          <w:i/>
          <w:iCs/>
          <w:sz w:val="24"/>
          <w:szCs w:val="24"/>
        </w:rPr>
        <w:t>What an investment policy statement looks like</w:t>
      </w:r>
      <w:r w:rsidRPr="00427EC3">
        <w:rPr>
          <w:rFonts w:ascii="Times New Roman" w:eastAsia="Times New Roman" w:hAnsi="Times New Roman" w:cs="Times New Roman"/>
          <w:sz w:val="24"/>
          <w:szCs w:val="24"/>
        </w:rPr>
        <w:t xml:space="preserve">. Investopedia. https://www.investopedia.com/articles/investing/060515/example-investment-policy-statement.asp. </w:t>
      </w:r>
    </w:p>
    <w:p w14:paraId="101C5750" w14:textId="77777777" w:rsidR="00427EC3" w:rsidRPr="004E3525" w:rsidRDefault="00427EC3" w:rsidP="004E3525">
      <w:pPr>
        <w:spacing w:before="100" w:beforeAutospacing="1" w:after="100" w:afterAutospacing="1" w:line="240" w:lineRule="auto"/>
        <w:ind w:left="567" w:hanging="567"/>
        <w:rPr>
          <w:rFonts w:ascii="Times New Roman" w:eastAsia="Times New Roman" w:hAnsi="Times New Roman" w:cs="Times New Roman"/>
          <w:sz w:val="24"/>
          <w:szCs w:val="24"/>
        </w:rPr>
      </w:pPr>
    </w:p>
    <w:p w14:paraId="511793A9" w14:textId="77777777" w:rsidR="004E3525" w:rsidRPr="005B298A" w:rsidRDefault="004E3525">
      <w:pPr>
        <w:rPr>
          <w:rFonts w:ascii="Times New Roman" w:hAnsi="Times New Roman" w:cs="Times New Roman"/>
          <w:sz w:val="24"/>
          <w:szCs w:val="24"/>
        </w:rPr>
      </w:pPr>
    </w:p>
    <w:sectPr w:rsidR="004E3525" w:rsidRPr="005B29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3380"/>
    <w:multiLevelType w:val="multilevel"/>
    <w:tmpl w:val="DB90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650BF"/>
    <w:multiLevelType w:val="multilevel"/>
    <w:tmpl w:val="0E4E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5C0849"/>
    <w:multiLevelType w:val="multilevel"/>
    <w:tmpl w:val="F8C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56FDD"/>
    <w:multiLevelType w:val="multilevel"/>
    <w:tmpl w:val="A3EA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44522"/>
    <w:multiLevelType w:val="multilevel"/>
    <w:tmpl w:val="F17A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D7"/>
    <w:rsid w:val="00066ED7"/>
    <w:rsid w:val="00427EC3"/>
    <w:rsid w:val="00494981"/>
    <w:rsid w:val="004E3525"/>
    <w:rsid w:val="005B298A"/>
    <w:rsid w:val="005D0BBB"/>
    <w:rsid w:val="005F7D59"/>
    <w:rsid w:val="006D2929"/>
    <w:rsid w:val="00720DBC"/>
    <w:rsid w:val="00BF192A"/>
    <w:rsid w:val="00D458E3"/>
    <w:rsid w:val="00D45C22"/>
    <w:rsid w:val="00DB5071"/>
    <w:rsid w:val="00E354D7"/>
    <w:rsid w:val="00F86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3016"/>
  <w15:chartTrackingRefBased/>
  <w15:docId w15:val="{F04E649E-5E32-40FA-B5A9-81827DA5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54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54D7"/>
    <w:rPr>
      <w:color w:val="0000FF"/>
      <w:u w:val="single"/>
    </w:rPr>
  </w:style>
  <w:style w:type="character" w:styleId="Strong">
    <w:name w:val="Strong"/>
    <w:basedOn w:val="DefaultParagraphFont"/>
    <w:uiPriority w:val="22"/>
    <w:qFormat/>
    <w:rsid w:val="00E354D7"/>
    <w:rPr>
      <w:b/>
      <w:bCs/>
    </w:rPr>
  </w:style>
  <w:style w:type="paragraph" w:customStyle="1" w:styleId="va-top">
    <w:name w:val="va-top"/>
    <w:basedOn w:val="Normal"/>
    <w:rsid w:val="00D45C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901">
      <w:bodyDiv w:val="1"/>
      <w:marLeft w:val="0"/>
      <w:marRight w:val="0"/>
      <w:marTop w:val="0"/>
      <w:marBottom w:val="0"/>
      <w:divBdr>
        <w:top w:val="none" w:sz="0" w:space="0" w:color="auto"/>
        <w:left w:val="none" w:sz="0" w:space="0" w:color="auto"/>
        <w:bottom w:val="none" w:sz="0" w:space="0" w:color="auto"/>
        <w:right w:val="none" w:sz="0" w:space="0" w:color="auto"/>
      </w:divBdr>
    </w:div>
    <w:div w:id="583295020">
      <w:bodyDiv w:val="1"/>
      <w:marLeft w:val="0"/>
      <w:marRight w:val="0"/>
      <w:marTop w:val="0"/>
      <w:marBottom w:val="0"/>
      <w:divBdr>
        <w:top w:val="none" w:sz="0" w:space="0" w:color="auto"/>
        <w:left w:val="none" w:sz="0" w:space="0" w:color="auto"/>
        <w:bottom w:val="none" w:sz="0" w:space="0" w:color="auto"/>
        <w:right w:val="none" w:sz="0" w:space="0" w:color="auto"/>
      </w:divBdr>
    </w:div>
    <w:div w:id="698240501">
      <w:bodyDiv w:val="1"/>
      <w:marLeft w:val="0"/>
      <w:marRight w:val="0"/>
      <w:marTop w:val="0"/>
      <w:marBottom w:val="0"/>
      <w:divBdr>
        <w:top w:val="none" w:sz="0" w:space="0" w:color="auto"/>
        <w:left w:val="none" w:sz="0" w:space="0" w:color="auto"/>
        <w:bottom w:val="none" w:sz="0" w:space="0" w:color="auto"/>
        <w:right w:val="none" w:sz="0" w:space="0" w:color="auto"/>
      </w:divBdr>
    </w:div>
    <w:div w:id="13112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t/timehorizon.asp" TargetMode="External"/><Relationship Id="rId13" Type="http://schemas.openxmlformats.org/officeDocument/2006/relationships/hyperlink" Target="https://www.investopedia.com/terms/r/reit.asp" TargetMode="External"/><Relationship Id="rId3" Type="http://schemas.openxmlformats.org/officeDocument/2006/relationships/settings" Target="settings.xml"/><Relationship Id="rId7" Type="http://schemas.openxmlformats.org/officeDocument/2006/relationships/hyperlink" Target="https://www.investopedia.com/terms/p/preservationofcapital.asp" TargetMode="External"/><Relationship Id="rId12" Type="http://schemas.openxmlformats.org/officeDocument/2006/relationships/hyperlink" Target="https://www.investopedia.com/terms/c/corporatebon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terms/c/currentassets.asp" TargetMode="External"/><Relationship Id="rId11" Type="http://schemas.openxmlformats.org/officeDocument/2006/relationships/hyperlink" Target="https://www.investopedia.com/terms/s/small-cap.asp" TargetMode="External"/><Relationship Id="rId5" Type="http://schemas.openxmlformats.org/officeDocument/2006/relationships/hyperlink" Target="https://www.investopedia.com/terms/l/llc.asp" TargetMode="External"/><Relationship Id="rId15" Type="http://schemas.openxmlformats.org/officeDocument/2006/relationships/theme" Target="theme/theme1.xml"/><Relationship Id="rId10" Type="http://schemas.openxmlformats.org/officeDocument/2006/relationships/hyperlink" Target="https://www.investopedia.com/terms/e/etf.asp" TargetMode="External"/><Relationship Id="rId4" Type="http://schemas.openxmlformats.org/officeDocument/2006/relationships/webSettings" Target="webSettings.xml"/><Relationship Id="rId9" Type="http://schemas.openxmlformats.org/officeDocument/2006/relationships/hyperlink" Target="https://www.investopedia.com/terms/i/indexfund.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Blom</dc:creator>
  <cp:keywords/>
  <dc:description/>
  <cp:lastModifiedBy>Romy Blom</cp:lastModifiedBy>
  <cp:revision>2</cp:revision>
  <dcterms:created xsi:type="dcterms:W3CDTF">2021-09-03T03:50:00Z</dcterms:created>
  <dcterms:modified xsi:type="dcterms:W3CDTF">2021-09-03T03:50:00Z</dcterms:modified>
</cp:coreProperties>
</file>